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3B39" w:rsidR="007B5E77" w:rsidP="36A377E4" w:rsidRDefault="28A29D03" w14:paraId="3487099C" w14:textId="22B49D6C">
      <w:pPr>
        <w:jc w:val="center"/>
        <w:rPr>
          <w:rFonts w:eastAsia="Calibri"/>
          <w:b w:val="1"/>
          <w:bCs w:val="1"/>
          <w:color w:val="000000" w:themeColor="text1"/>
          <w:sz w:val="36"/>
          <w:szCs w:val="36"/>
        </w:rPr>
      </w:pPr>
      <w:r w:rsidRPr="5D511374" w:rsidR="4C5FCB21">
        <w:rPr>
          <w:rFonts w:eastAsia="Calibri"/>
          <w:b w:val="1"/>
          <w:bCs w:val="1"/>
          <w:color w:val="000000" w:themeColor="text1" w:themeTint="FF" w:themeShade="FF"/>
          <w:sz w:val="36"/>
          <w:szCs w:val="36"/>
        </w:rPr>
        <w:t>Utilization</w:t>
      </w:r>
      <w:r w:rsidRPr="5D511374" w:rsidR="4C5FCB21">
        <w:rPr>
          <w:rFonts w:eastAsia="Calibri"/>
          <w:b w:val="1"/>
          <w:bCs w:val="1"/>
          <w:color w:val="000000" w:themeColor="text1" w:themeTint="FF" w:themeShade="FF"/>
          <w:sz w:val="36"/>
          <w:szCs w:val="36"/>
        </w:rPr>
        <w:t xml:space="preserve"> Review</w:t>
      </w:r>
      <w:r w:rsidRPr="5D511374" w:rsidR="16AEC1D2">
        <w:rPr>
          <w:rFonts w:eastAsia="Calibri"/>
          <w:b w:val="1"/>
          <w:bCs w:val="1"/>
          <w:color w:val="000000" w:themeColor="text1" w:themeTint="FF" w:themeShade="FF"/>
          <w:sz w:val="36"/>
          <w:szCs w:val="36"/>
        </w:rPr>
        <w:t xml:space="preserve"> (UR)</w:t>
      </w:r>
      <w:r w:rsidRPr="5D511374" w:rsidR="4C5FCB21">
        <w:rPr>
          <w:rFonts w:eastAsia="Calibri"/>
          <w:b w:val="1"/>
          <w:bCs w:val="1"/>
          <w:color w:val="000000" w:themeColor="text1" w:themeTint="FF" w:themeShade="FF"/>
          <w:sz w:val="36"/>
          <w:szCs w:val="36"/>
        </w:rPr>
        <w:t xml:space="preserve"> </w:t>
      </w:r>
      <w:r w:rsidRPr="5D511374" w:rsidR="5BCA4B30">
        <w:rPr>
          <w:rFonts w:eastAsia="Calibri"/>
          <w:b w:val="1"/>
          <w:bCs w:val="1"/>
          <w:color w:val="000000" w:themeColor="text1" w:themeTint="FF" w:themeShade="FF"/>
          <w:sz w:val="36"/>
          <w:szCs w:val="36"/>
        </w:rPr>
        <w:t>Form Scoring</w:t>
      </w:r>
    </w:p>
    <w:p w:rsidRPr="006B3B39" w:rsidR="000066B0" w:rsidP="5D511374" w:rsidRDefault="77B61D4C" w14:paraId="52E9FF8E" w14:textId="6443D4C0">
      <w:pPr>
        <w:rPr>
          <w:rFonts w:eastAsia="Calibri" w:cs="Calibri" w:cstheme="minorAscii"/>
          <w:color w:val="000000" w:themeColor="text1"/>
          <w:sz w:val="24"/>
          <w:szCs w:val="24"/>
        </w:rPr>
      </w:pPr>
      <w:r w:rsidRPr="5D511374" w:rsidR="77B61D4C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The internal </w:t>
      </w:r>
      <w:r w:rsidRPr="5D511374" w:rsidR="7CCB26A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UR</w:t>
      </w:r>
      <w:r w:rsidRPr="5D511374" w:rsidR="7CCB26A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5D511374" w:rsidR="77B61D4C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template forms that are used to review charts will include a score for each section of the form. At the end of the form, there will be a cumulative quality score and a cumulative regulatory score. 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A quality score is reflective of the c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ur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rent clinician’s compliance standard in the 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c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h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art, in case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t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h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ere has been a</w:t>
      </w:r>
      <w:r w:rsidRPr="5D511374" w:rsidR="77553FA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ny change in the primary clinician. The regulatory score reflects the overall comprehensive score of the chart. </w:t>
      </w:r>
    </w:p>
    <w:p w:rsidR="51B23D57" w:rsidP="5D511374" w:rsidRDefault="51B23D57" w14:paraId="1B28791B" w14:textId="2993C553">
      <w:pPr>
        <w:pStyle w:val="Normal"/>
      </w:pPr>
      <w:r w:rsidRPr="5D511374" w:rsidR="51B23D57">
        <w:rPr>
          <w:rFonts w:ascii="Calibri" w:hAnsi="Calibri" w:eastAsia="Calibri" w:cs="Calibri"/>
          <w:noProof w:val="0"/>
          <w:sz w:val="24"/>
          <w:szCs w:val="24"/>
          <w:lang w:val="en-US"/>
        </w:rPr>
        <w:t>Scoring will</w:t>
      </w:r>
      <w:r w:rsidRPr="5D511374" w:rsidR="51B23D57">
        <w:rPr>
          <w:rFonts w:ascii="Calibri" w:hAnsi="Calibri" w:eastAsia="Calibri" w:cs="Calibri"/>
          <w:noProof w:val="0"/>
          <w:sz w:val="24"/>
          <w:szCs w:val="24"/>
          <w:lang w:val="en-US"/>
        </w:rPr>
        <w:t>, for the most part, align</w:t>
      </w:r>
      <w:r w:rsidRPr="5D511374" w:rsidR="51B23D5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regulatory body audit standards and incorporate a 0.5 modification to account for minor workflow errors that are not clinician-related or fall within the established workflow </w:t>
      </w:r>
      <w:r w:rsidRPr="5D511374" w:rsidR="51B23D57">
        <w:rPr>
          <w:rFonts w:ascii="Calibri" w:hAnsi="Calibri" w:eastAsia="Calibri" w:cs="Calibri"/>
          <w:noProof w:val="0"/>
          <w:sz w:val="24"/>
          <w:szCs w:val="24"/>
          <w:lang w:val="en-US"/>
        </w:rPr>
        <w:t>timeframe</w:t>
      </w:r>
      <w:r w:rsidRPr="5D511374" w:rsidR="51B23D5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but remain incomplete at the time of UR.</w:t>
      </w:r>
    </w:p>
    <w:p w:rsidR="0CDC6C5F" w:rsidP="5D511374" w:rsidRDefault="0CDC6C5F" w14:paraId="2BD42533" w14:textId="55A8BAD5">
      <w:pPr>
        <w:jc w:val="center"/>
        <w:rPr>
          <w:rFonts w:eastAsia="Calibri"/>
          <w:color w:val="000000" w:themeColor="text1" w:themeTint="FF" w:themeShade="FF"/>
          <w:sz w:val="28"/>
          <w:szCs w:val="28"/>
        </w:rPr>
      </w:pP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8"/>
          <w:szCs w:val="28"/>
        </w:rPr>
        <w:t>Scoring</w:t>
      </w: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8"/>
          <w:szCs w:val="28"/>
        </w:rPr>
        <w:t xml:space="preserve"> Criteria for Individual Chart Review and Program Status:</w:t>
      </w:r>
    </w:p>
    <w:p w:rsidR="0CDC6C5F" w:rsidP="5D511374" w:rsidRDefault="0CDC6C5F" w14:paraId="03C82782" w14:textId="20000756">
      <w:pPr>
        <w:pStyle w:val="ListParagraph"/>
        <w:numPr>
          <w:ilvl w:val="0"/>
          <w:numId w:val="6"/>
        </w:numPr>
        <w:rPr>
          <w:rFonts w:eastAsia="Calibri"/>
          <w:color w:val="000000" w:themeColor="text1" w:themeTint="FF" w:themeShade="FF"/>
          <w:sz w:val="24"/>
          <w:szCs w:val="24"/>
        </w:rPr>
      </w:pP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>Exemplary</w:t>
      </w:r>
      <w:r w:rsidRPr="5D511374" w:rsidR="0CDC6C5F">
        <w:rPr>
          <w:rFonts w:eastAsia="Calibri"/>
          <w:color w:val="000000" w:themeColor="text1" w:themeTint="FF" w:themeShade="FF"/>
          <w:sz w:val="24"/>
          <w:szCs w:val="24"/>
        </w:rPr>
        <w:t xml:space="preserve">: Cumulative score of </w:t>
      </w: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>4</w:t>
      </w:r>
    </w:p>
    <w:p w:rsidR="0CDC6C5F" w:rsidP="5D511374" w:rsidRDefault="0CDC6C5F" w14:paraId="65AE6063" w14:textId="13F5F7C6">
      <w:pPr>
        <w:pStyle w:val="ListParagraph"/>
        <w:numPr>
          <w:ilvl w:val="0"/>
          <w:numId w:val="6"/>
        </w:numPr>
        <w:rPr>
          <w:rFonts w:eastAsia="Calibri"/>
          <w:color w:val="000000" w:themeColor="text1" w:themeTint="FF" w:themeShade="FF"/>
          <w:sz w:val="24"/>
          <w:szCs w:val="24"/>
        </w:rPr>
      </w:pP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>Adequate</w:t>
      </w:r>
      <w:r w:rsidRPr="5D511374" w:rsidR="0CDC6C5F">
        <w:rPr>
          <w:rFonts w:eastAsia="Calibri"/>
          <w:color w:val="000000" w:themeColor="text1" w:themeTint="FF" w:themeShade="FF"/>
          <w:sz w:val="24"/>
          <w:szCs w:val="24"/>
        </w:rPr>
        <w:t xml:space="preserve">: Cumulative score of </w:t>
      </w: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>3</w:t>
      </w:r>
    </w:p>
    <w:p w:rsidR="0CDC6C5F" w:rsidP="5D511374" w:rsidRDefault="0CDC6C5F" w14:paraId="1BEFF5E6" w14:textId="14AC4E6E">
      <w:pPr>
        <w:pStyle w:val="ListParagraph"/>
        <w:numPr>
          <w:ilvl w:val="0"/>
          <w:numId w:val="6"/>
        </w:numPr>
        <w:rPr>
          <w:rFonts w:eastAsia="Calibri"/>
          <w:color w:val="000000" w:themeColor="text1" w:themeTint="FF" w:themeShade="FF"/>
          <w:sz w:val="24"/>
          <w:szCs w:val="24"/>
        </w:rPr>
      </w:pP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>Needs Improvement</w:t>
      </w:r>
      <w:r w:rsidRPr="5D511374" w:rsidR="0CDC6C5F">
        <w:rPr>
          <w:rFonts w:eastAsia="Calibri"/>
          <w:color w:val="000000" w:themeColor="text1" w:themeTint="FF" w:themeShade="FF"/>
          <w:sz w:val="24"/>
          <w:szCs w:val="24"/>
        </w:rPr>
        <w:t xml:space="preserve">: Cumulative score </w:t>
      </w:r>
      <w:r w:rsidRPr="5D511374" w:rsidR="0CDC6C5F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>below 3</w:t>
      </w:r>
    </w:p>
    <w:p w:rsidR="5D511374" w:rsidP="5D511374" w:rsidRDefault="5D511374" w14:paraId="24485A3A" w14:textId="4152C818">
      <w:pPr>
        <w:pStyle w:val="ListParagraph"/>
        <w:ind w:left="720"/>
        <w:rPr>
          <w:rFonts w:eastAsia="Calibri"/>
          <w:color w:val="000000" w:themeColor="text1" w:themeTint="FF" w:themeShade="FF"/>
          <w:sz w:val="24"/>
          <w:szCs w:val="24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580"/>
        <w:gridCol w:w="4105"/>
      </w:tblGrid>
      <w:tr w:rsidRPr="006B3B39" w:rsidR="00E52C55" w:rsidTr="5D511374" w14:paraId="1D660DFE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1A75A9EB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b/>
                <w:bCs/>
                <w:sz w:val="24"/>
                <w:szCs w:val="24"/>
              </w:rPr>
              <w:t>SCORE/ Percentage</w:t>
            </w:r>
            <w:r w:rsidRPr="006B3B39">
              <w:rPr>
                <w:rFonts w:eastAsia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2F045791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b/>
                <w:bCs/>
                <w:sz w:val="24"/>
                <w:szCs w:val="24"/>
              </w:rPr>
              <w:t>First Review</w:t>
            </w:r>
            <w:r w:rsidRPr="006B3B39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Pr="006B3B39">
              <w:rPr>
                <w:rFonts w:eastAsia="Aptos" w:cstheme="minorHAnsi"/>
                <w:b/>
                <w:bCs/>
                <w:sz w:val="24"/>
                <w:szCs w:val="24"/>
              </w:rPr>
              <w:t>(UR)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897FE4" w14:paraId="54A01C2F" w14:textId="7E39FAF5">
            <w:pPr>
              <w:spacing w:after="0"/>
              <w:rPr>
                <w:rFonts w:eastAsia="Aptos" w:cstheme="minorHAnsi"/>
                <w:b/>
                <w:bCs/>
                <w:sz w:val="24"/>
                <w:szCs w:val="24"/>
              </w:rPr>
            </w:pPr>
            <w:r w:rsidRPr="006B3B39">
              <w:rPr>
                <w:rFonts w:eastAsia="Aptos" w:cstheme="minorHAnsi"/>
                <w:b/>
                <w:bCs/>
                <w:sz w:val="24"/>
                <w:szCs w:val="24"/>
              </w:rPr>
              <w:t>Action Step</w:t>
            </w:r>
            <w:r w:rsidR="007E4478">
              <w:rPr>
                <w:rFonts w:eastAsia="Aptos" w:cstheme="minorHAnsi"/>
                <w:b/>
                <w:bCs/>
                <w:sz w:val="24"/>
                <w:szCs w:val="24"/>
              </w:rPr>
              <w:t>s</w:t>
            </w:r>
            <w:r w:rsidRPr="006B3B39">
              <w:rPr>
                <w:rFonts w:eastAsia="Aptos" w:cstheme="minorHAnsi"/>
                <w:b/>
                <w:bCs/>
                <w:sz w:val="24"/>
                <w:szCs w:val="24"/>
              </w:rPr>
              <w:t xml:space="preserve"> (Re-review)</w:t>
            </w:r>
            <w:r w:rsidRPr="006B3B39" w:rsidR="00B97CF1">
              <w:rPr>
                <w:rFonts w:eastAsia="Aptos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6B3B39" w:rsidR="00E52C55" w:rsidTr="5D511374" w14:paraId="313B3417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5D511374" w:rsidRDefault="00E52C55" w14:paraId="6F3397B9" w14:textId="3F4FA448">
            <w:pPr>
              <w:spacing w:after="0"/>
              <w:rPr>
                <w:rFonts w:cs="Calibri" w:cstheme="minorAscii"/>
                <w:sz w:val="24"/>
                <w:szCs w:val="24"/>
              </w:rPr>
            </w:pPr>
            <w:r w:rsidRPr="5D511374" w:rsidR="3E97644C">
              <w:rPr>
                <w:rFonts w:eastAsia="Aptos" w:cs="Calibri" w:cstheme="minorAscii"/>
                <w:sz w:val="24"/>
                <w:szCs w:val="24"/>
              </w:rPr>
              <w:t>4</w:t>
            </w:r>
            <w:r w:rsidRPr="5D511374" w:rsidR="1C7E70A0">
              <w:rPr>
                <w:rFonts w:eastAsia="Aptos" w:cs="Calibri" w:cstheme="minorAscii"/>
                <w:sz w:val="24"/>
                <w:szCs w:val="24"/>
              </w:rPr>
              <w:t>*</w:t>
            </w:r>
            <w:r w:rsidRPr="5D511374" w:rsidR="3E97644C">
              <w:rPr>
                <w:rFonts w:eastAsia="Aptos" w:cs="Calibri" w:cstheme="minorAscii"/>
                <w:sz w:val="24"/>
                <w:szCs w:val="24"/>
              </w:rPr>
              <w:t xml:space="preserve">=100% 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5D511374" w:rsidRDefault="00E52C55" w14:paraId="295074DE" w14:textId="6AD95A74">
            <w:pPr>
              <w:spacing w:after="0"/>
              <w:rPr>
                <w:rFonts w:cs="Calibri" w:cstheme="minorAscii"/>
                <w:sz w:val="24"/>
                <w:szCs w:val="24"/>
              </w:rPr>
            </w:pPr>
            <w:r w:rsidRPr="5D511374" w:rsidR="7967D709">
              <w:rPr>
                <w:rFonts w:eastAsia="Aptos" w:cs="Calibri" w:cstheme="minorAscii"/>
                <w:sz w:val="24"/>
                <w:szCs w:val="24"/>
              </w:rPr>
              <w:t xml:space="preserve">No </w:t>
            </w:r>
            <w:r w:rsidRPr="5D511374" w:rsidR="3E97644C">
              <w:rPr>
                <w:rFonts w:eastAsia="Aptos" w:cs="Calibri" w:cstheme="minorAscii"/>
                <w:sz w:val="24"/>
                <w:szCs w:val="24"/>
              </w:rPr>
              <w:t xml:space="preserve">errors 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0EA0286A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No corrections needed (Green)</w:t>
            </w:r>
          </w:p>
        </w:tc>
      </w:tr>
      <w:tr w:rsidRPr="006B3B39" w:rsidR="00E52C55" w:rsidTr="5D511374" w14:paraId="1B805B4A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474A1811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3.5= 96-99%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008A297C" w14:textId="77777777">
            <w:pPr>
              <w:spacing w:after="0"/>
              <w:rPr>
                <w:rFonts w:eastAsia="Aptos" w:cstheme="minorHAnsi"/>
                <w:i/>
                <w:iCs/>
                <w:sz w:val="24"/>
                <w:szCs w:val="24"/>
              </w:rPr>
            </w:pPr>
            <w:r w:rsidRPr="006B3B39">
              <w:rPr>
                <w:rFonts w:eastAsia="Aptos" w:cstheme="minorHAnsi"/>
                <w:i/>
                <w:iCs/>
                <w:sz w:val="24"/>
                <w:szCs w:val="24"/>
              </w:rPr>
              <w:t xml:space="preserve">1 minor error not from clinician or still within workflow timeframe 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4F661D56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Corrections can bring chart to compliance + may have clinical recommendation (Orange)</w:t>
            </w:r>
          </w:p>
        </w:tc>
      </w:tr>
      <w:tr w:rsidRPr="006B3B39" w:rsidR="00E52C55" w:rsidTr="5D511374" w14:paraId="41C9FD4B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263AEC2B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3=90-95% 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3D82EFA2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1-2 minor errors 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632FF4AA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Corrections can bring chart to compliance + may have clinical recommendation (Orange)</w:t>
            </w:r>
          </w:p>
        </w:tc>
      </w:tr>
      <w:tr w:rsidRPr="006B3B39" w:rsidR="00E52C55" w:rsidTr="5D511374" w14:paraId="2838D186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7D06F06C" w14:textId="77777777">
            <w:pPr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2.5=86-89%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0E4258B2" w14:textId="77777777">
            <w:pPr>
              <w:spacing w:after="0"/>
              <w:rPr>
                <w:rFonts w:eastAsia="Aptos" w:cstheme="minorHAnsi"/>
                <w:i/>
                <w:iCs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1-2 minor errors +</w:t>
            </w:r>
            <w:r w:rsidRPr="006B3B39">
              <w:rPr>
                <w:rFonts w:eastAsia="Aptos" w:cstheme="minorHAnsi"/>
                <w:i/>
                <w:iCs/>
                <w:sz w:val="24"/>
                <w:szCs w:val="24"/>
              </w:rPr>
              <w:t xml:space="preserve"> 1-3 errors not from clinician or still within workflow timeframe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22516913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Corrections can bring chart to compliance + may have clinical recommendation (Orange)</w:t>
            </w:r>
          </w:p>
        </w:tc>
      </w:tr>
      <w:tr w:rsidRPr="006B3B39" w:rsidR="00E52C55" w:rsidTr="5D511374" w14:paraId="406786AB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26CAD06E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2=80-85% 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4DAAE221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3-4 minor errors and/or 1 major error 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2FB1E17C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Corrections may be brought to compliance with minor errors but not with major errors. May have clinical recommendation (Orange or Red)</w:t>
            </w:r>
          </w:p>
          <w:p w:rsidRPr="006B3B39" w:rsidR="00E52C55" w:rsidP="006D4FDA" w:rsidRDefault="00E52C55" w14:paraId="56240F30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</w:p>
        </w:tc>
      </w:tr>
      <w:tr w:rsidRPr="006B3B39" w:rsidR="00E52C55" w:rsidTr="5D511374" w14:paraId="535F30FD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5EA62CFB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1=60-79% 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28187160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2 or more major errors 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4CC241B2" w14:textId="77777777">
            <w:pPr>
              <w:spacing w:after="0"/>
              <w:rPr>
                <w:rFonts w:eastAsia="Aptos"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>Cannot be brought to compliance. May have clinical recommendation.</w:t>
            </w:r>
          </w:p>
        </w:tc>
      </w:tr>
      <w:tr w:rsidRPr="006B3B39" w:rsidR="00E52C55" w:rsidTr="5D511374" w14:paraId="6A00A06E" w14:textId="77777777">
        <w:trPr>
          <w:trHeight w:val="300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05E74643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0=&lt;60% 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006D4FDA" w:rsidRDefault="00E52C55" w14:paraId="147F1E7B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B3B39">
              <w:rPr>
                <w:rFonts w:eastAsia="Aptos" w:cstheme="minorHAnsi"/>
                <w:sz w:val="24"/>
                <w:szCs w:val="24"/>
              </w:rPr>
              <w:t xml:space="preserve">items are absent </w:t>
            </w:r>
          </w:p>
        </w:tc>
        <w:tc>
          <w:tcPr>
            <w:tcW w:w="4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bottom"/>
          </w:tcPr>
          <w:p w:rsidRPr="006B3B39" w:rsidR="00E52C55" w:rsidP="28091385" w:rsidRDefault="00E52C55" w14:paraId="6BC1199E" w14:textId="75169B44">
            <w:pPr>
              <w:spacing w:after="0"/>
              <w:rPr>
                <w:rFonts w:eastAsia="Aptos"/>
                <w:sz w:val="24"/>
                <w:szCs w:val="24"/>
              </w:rPr>
            </w:pPr>
            <w:r w:rsidRPr="5D511374" w:rsidR="3E97644C">
              <w:rPr>
                <w:rFonts w:eastAsia="Aptos"/>
                <w:sz w:val="24"/>
                <w:szCs w:val="24"/>
              </w:rPr>
              <w:t>Cannot</w:t>
            </w:r>
            <w:r w:rsidRPr="5D511374" w:rsidR="3E97644C">
              <w:rPr>
                <w:rFonts w:eastAsia="Aptos"/>
                <w:sz w:val="24"/>
                <w:szCs w:val="24"/>
              </w:rPr>
              <w:t xml:space="preserve"> be brought to compliance due to absence of </w:t>
            </w:r>
            <w:r w:rsidRPr="5D511374" w:rsidR="40C29457">
              <w:rPr>
                <w:rFonts w:eastAsia="Aptos"/>
                <w:sz w:val="24"/>
                <w:szCs w:val="24"/>
              </w:rPr>
              <w:t xml:space="preserve">required </w:t>
            </w:r>
            <w:r w:rsidRPr="5D511374" w:rsidR="3E97644C">
              <w:rPr>
                <w:rFonts w:eastAsia="Aptos"/>
                <w:sz w:val="24"/>
                <w:szCs w:val="24"/>
              </w:rPr>
              <w:t>staff</w:t>
            </w:r>
            <w:r w:rsidRPr="5D511374" w:rsidR="57F07AF1">
              <w:rPr>
                <w:rFonts w:eastAsia="Aptos"/>
                <w:sz w:val="24"/>
                <w:szCs w:val="24"/>
              </w:rPr>
              <w:t>.</w:t>
            </w:r>
          </w:p>
        </w:tc>
      </w:tr>
    </w:tbl>
    <w:p w:rsidR="007E4478" w:rsidP="5D511374" w:rsidRDefault="007E4478" w14:paraId="1DB651B1" w14:textId="6FA9786D">
      <w:pPr>
        <w:rPr>
          <w:rFonts w:eastAsia="Calibri"/>
          <w:color w:val="000000" w:themeColor="text1" w:themeTint="FF" w:themeShade="FF"/>
          <w:sz w:val="24"/>
          <w:szCs w:val="24"/>
        </w:rPr>
      </w:pPr>
      <w:r w:rsidRPr="5D511374" w:rsidR="77A226B4">
        <w:rPr>
          <w:rFonts w:eastAsia="Calibri"/>
          <w:color w:val="000000" w:themeColor="text1" w:themeTint="FF" w:themeShade="FF"/>
          <w:sz w:val="24"/>
          <w:szCs w:val="24"/>
        </w:rPr>
        <w:t xml:space="preserve">*A 4 will </w:t>
      </w:r>
      <w:r w:rsidRPr="5D511374" w:rsidR="77A226B4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>only</w:t>
      </w:r>
      <w:r w:rsidRPr="5D511374" w:rsidR="77A226B4">
        <w:rPr>
          <w:rFonts w:eastAsia="Calibri"/>
          <w:color w:val="000000" w:themeColor="text1" w:themeTint="FF" w:themeShade="FF"/>
          <w:sz w:val="24"/>
          <w:szCs w:val="24"/>
        </w:rPr>
        <w:t xml:space="preserve"> be used to indicate a chart that had no errors or issues to be made. Please note that this is the gold standard and is not the expectation. </w:t>
      </w:r>
    </w:p>
    <w:p w:rsidR="007E4478" w:rsidP="36A377E4" w:rsidRDefault="007E4478" w14:paraId="06027952" w14:textId="589153DF">
      <w:pPr>
        <w:rPr>
          <w:rFonts w:eastAsia="Calibri"/>
          <w:color w:val="000000" w:themeColor="text1"/>
          <w:sz w:val="24"/>
          <w:szCs w:val="24"/>
        </w:rPr>
      </w:pPr>
      <w:r w:rsidRPr="5D511374" w:rsidR="77A226B4">
        <w:rPr>
          <w:rFonts w:eastAsia="Calibri"/>
          <w:color w:val="000000" w:themeColor="text1" w:themeTint="FF" w:themeShade="FF"/>
          <w:sz w:val="24"/>
          <w:szCs w:val="24"/>
        </w:rPr>
        <w:t xml:space="preserve">Changes made during re-review can bring the chart to compliance, however scoring </w:t>
      </w:r>
      <w:r w:rsidRPr="5D511374" w:rsidR="2D86C8D6">
        <w:rPr>
          <w:rFonts w:eastAsia="Calibri"/>
          <w:color w:val="000000" w:themeColor="text1" w:themeTint="FF" w:themeShade="FF"/>
          <w:sz w:val="24"/>
          <w:szCs w:val="24"/>
        </w:rPr>
        <w:t xml:space="preserve">the overall score of the chart </w:t>
      </w:r>
      <w:r w:rsidRPr="5D511374" w:rsidR="4B8071B1">
        <w:rPr>
          <w:rFonts w:eastAsia="Calibri"/>
          <w:color w:val="000000" w:themeColor="text1" w:themeTint="FF" w:themeShade="FF"/>
          <w:sz w:val="24"/>
          <w:szCs w:val="24"/>
        </w:rPr>
        <w:t>does not change</w:t>
      </w:r>
      <w:r w:rsidRPr="5D511374" w:rsidR="77A226B4">
        <w:rPr>
          <w:rFonts w:eastAsia="Calibri"/>
          <w:color w:val="000000" w:themeColor="text1" w:themeTint="FF" w:themeShade="FF"/>
          <w:sz w:val="24"/>
          <w:szCs w:val="24"/>
        </w:rPr>
        <w:t>.</w:t>
      </w:r>
    </w:p>
    <w:p w:rsidR="44932857" w:rsidP="5D511374" w:rsidRDefault="44932857" w14:paraId="58B367BC" w14:textId="47D01C25">
      <w:pPr>
        <w:rPr>
          <w:rFonts w:eastAsia="Calibri"/>
          <w:color w:val="000000" w:themeColor="text1"/>
          <w:sz w:val="28"/>
          <w:szCs w:val="28"/>
        </w:rPr>
      </w:pPr>
      <w:r w:rsidRPr="5D511374" w:rsidR="2F365C27">
        <w:rPr>
          <w:rFonts w:eastAsia="Calibri"/>
          <w:b w:val="1"/>
          <w:bCs w:val="1"/>
          <w:color w:val="000000" w:themeColor="text1" w:themeTint="FF" w:themeShade="FF"/>
          <w:sz w:val="28"/>
          <w:szCs w:val="28"/>
        </w:rPr>
        <w:t xml:space="preserve">Differences between minor and major </w:t>
      </w:r>
      <w:r w:rsidRPr="5D511374" w:rsidR="2F365C27">
        <w:rPr>
          <w:rFonts w:eastAsia="Calibri"/>
          <w:b w:val="1"/>
          <w:bCs w:val="1"/>
          <w:color w:val="000000" w:themeColor="text1" w:themeTint="FF" w:themeShade="FF"/>
          <w:sz w:val="28"/>
          <w:szCs w:val="28"/>
        </w:rPr>
        <w:t>error</w:t>
      </w:r>
      <w:r w:rsidRPr="5D511374" w:rsidR="2F365C27">
        <w:rPr>
          <w:rFonts w:eastAsia="Calibri"/>
          <w:color w:val="000000" w:themeColor="text1" w:themeTint="FF" w:themeShade="FF"/>
          <w:sz w:val="28"/>
          <w:szCs w:val="28"/>
        </w:rPr>
        <w:t xml:space="preserve"> </w:t>
      </w:r>
    </w:p>
    <w:p w:rsidR="44932857" w:rsidP="36A377E4" w:rsidRDefault="44932857" w14:paraId="757A03D7" w14:textId="4674443D">
      <w:pPr>
        <w:pStyle w:val="ListParagraph"/>
        <w:numPr>
          <w:ilvl w:val="0"/>
          <w:numId w:val="4"/>
        </w:numPr>
        <w:rPr>
          <w:rFonts w:eastAsia="Calibri"/>
          <w:color w:val="000000" w:themeColor="text1"/>
          <w:sz w:val="24"/>
          <w:szCs w:val="24"/>
        </w:rPr>
      </w:pPr>
      <w:r w:rsidRPr="5D511374" w:rsidR="2F365C27">
        <w:rPr>
          <w:rFonts w:eastAsia="Calibri"/>
          <w:b w:val="0"/>
          <w:bCs w:val="0"/>
          <w:color w:val="000000" w:themeColor="text1" w:themeTint="FF" w:themeShade="FF"/>
          <w:sz w:val="24"/>
          <w:szCs w:val="24"/>
          <w:u w:val="single"/>
        </w:rPr>
        <w:t>Major error: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 an error that cannot be fixed (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>i.e.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 something</w:t>
      </w:r>
      <w:r w:rsidRPr="5D511374" w:rsidR="4898BEFD">
        <w:rPr>
          <w:rFonts w:eastAsia="Calibri"/>
          <w:color w:val="000000" w:themeColor="text1" w:themeTint="FF" w:themeShade="FF"/>
          <w:sz w:val="24"/>
          <w:szCs w:val="24"/>
        </w:rPr>
        <w:t xml:space="preserve"> completed, 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>approved</w:t>
      </w:r>
      <w:r w:rsidRPr="5D511374" w:rsidR="35B6ABEB">
        <w:rPr>
          <w:rFonts w:eastAsia="Calibri"/>
          <w:color w:val="000000" w:themeColor="text1" w:themeTint="FF" w:themeShade="FF"/>
          <w:sz w:val="24"/>
          <w:szCs w:val="24"/>
        </w:rPr>
        <w:t xml:space="preserve">, and or 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signed </w:t>
      </w:r>
      <w:r w:rsidRPr="5D511374" w:rsidR="5B420302">
        <w:rPr>
          <w:rFonts w:eastAsia="Calibri"/>
          <w:color w:val="000000" w:themeColor="text1" w:themeTint="FF" w:themeShade="FF"/>
          <w:sz w:val="24"/>
          <w:szCs w:val="24"/>
        </w:rPr>
        <w:t>after the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 designated </w:t>
      </w:r>
      <w:r w:rsidRPr="5D511374" w:rsidR="60B25667">
        <w:rPr>
          <w:rFonts w:eastAsia="Calibri"/>
          <w:color w:val="000000" w:themeColor="text1" w:themeTint="FF" w:themeShade="FF"/>
          <w:sz w:val="24"/>
          <w:szCs w:val="24"/>
        </w:rPr>
        <w:t>timeframe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). </w:t>
      </w:r>
    </w:p>
    <w:p w:rsidR="2F365C27" w:rsidP="5D511374" w:rsidRDefault="2F365C27" w14:paraId="576610C2" w14:textId="0796E9E1">
      <w:pPr>
        <w:pStyle w:val="ListParagraph"/>
        <w:numPr>
          <w:ilvl w:val="0"/>
          <w:numId w:val="4"/>
        </w:numPr>
        <w:rPr>
          <w:rFonts w:eastAsia="Calibri"/>
          <w:color w:val="000000" w:themeColor="text1" w:themeTint="FF" w:themeShade="FF"/>
          <w:sz w:val="24"/>
          <w:szCs w:val="24"/>
        </w:rPr>
      </w:pPr>
      <w:r w:rsidRPr="5D511374" w:rsidR="2F365C27">
        <w:rPr>
          <w:rFonts w:eastAsia="Calibri"/>
          <w:b w:val="0"/>
          <w:bCs w:val="0"/>
          <w:color w:val="000000" w:themeColor="text1" w:themeTint="FF" w:themeShade="FF"/>
          <w:sz w:val="24"/>
          <w:szCs w:val="24"/>
          <w:u w:val="single"/>
        </w:rPr>
        <w:t>Minor errors</w:t>
      </w:r>
      <w:r w:rsidRPr="5D511374" w:rsidR="6D224D22">
        <w:rPr>
          <w:rFonts w:eastAsia="Calibri"/>
          <w:b w:val="0"/>
          <w:bCs w:val="0"/>
          <w:color w:val="000000" w:themeColor="text1" w:themeTint="FF" w:themeShade="FF"/>
          <w:sz w:val="24"/>
          <w:szCs w:val="24"/>
          <w:u w:val="single"/>
        </w:rPr>
        <w:t>: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 are defined as 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>identified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 errors that can be corrected by staff</w:t>
      </w:r>
      <w:r w:rsidRPr="5D511374" w:rsidR="473F2F34">
        <w:rPr>
          <w:rFonts w:eastAsia="Calibri"/>
          <w:color w:val="000000" w:themeColor="text1" w:themeTint="FF" w:themeShade="FF"/>
          <w:sz w:val="24"/>
          <w:szCs w:val="24"/>
        </w:rPr>
        <w:t xml:space="preserve"> or supervisor</w:t>
      </w:r>
      <w:r w:rsidRPr="5D511374" w:rsidR="2F365C27">
        <w:rPr>
          <w:rFonts w:eastAsia="Calibri"/>
          <w:color w:val="000000" w:themeColor="text1" w:themeTint="FF" w:themeShade="FF"/>
          <w:sz w:val="24"/>
          <w:szCs w:val="24"/>
        </w:rPr>
        <w:t xml:space="preserve"> to bring the chart to compliance.</w:t>
      </w:r>
    </w:p>
    <w:p w:rsidRPr="006B3B39" w:rsidR="00075DC8" w:rsidP="5D511374" w:rsidRDefault="34C6D50E" w14:paraId="3DA0E7CD" w14:textId="4013275F" w14:noSpellErr="1">
      <w:pPr>
        <w:spacing w:after="0" w:line="276" w:lineRule="auto"/>
        <w:rPr>
          <w:rFonts w:eastAsia="Aptos"/>
          <w:b w:val="1"/>
          <w:bCs w:val="1"/>
          <w:sz w:val="28"/>
          <w:szCs w:val="28"/>
        </w:rPr>
      </w:pPr>
      <w:r w:rsidRPr="5D511374" w:rsidR="2E2EE511">
        <w:rPr>
          <w:rFonts w:eastAsia="Aptos"/>
          <w:b w:val="1"/>
          <w:bCs w:val="1"/>
          <w:sz w:val="28"/>
          <w:szCs w:val="28"/>
        </w:rPr>
        <w:t xml:space="preserve">Examples of .5: </w:t>
      </w:r>
    </w:p>
    <w:p w:rsidRPr="006B3B39" w:rsidR="00075DC8" w:rsidP="5D511374" w:rsidRDefault="34C6D50E" w14:paraId="13A991E7" w14:textId="539F3CD3">
      <w:pPr>
        <w:pStyle w:val="ListParagraph"/>
        <w:numPr>
          <w:ilvl w:val="0"/>
          <w:numId w:val="1"/>
        </w:numPr>
        <w:spacing w:after="0" w:line="259" w:lineRule="auto"/>
        <w:rPr>
          <w:rFonts w:eastAsia="Aptos"/>
          <w:sz w:val="24"/>
          <w:szCs w:val="24"/>
        </w:rPr>
      </w:pPr>
      <w:r w:rsidRPr="5D511374" w:rsidR="2E2EE511">
        <w:rPr>
          <w:rFonts w:eastAsia="Aptos"/>
          <w:sz w:val="24"/>
          <w:szCs w:val="24"/>
        </w:rPr>
        <w:t>A28 pending referral provider</w:t>
      </w:r>
      <w:r w:rsidRPr="5D511374" w:rsidR="3AEE28D1">
        <w:rPr>
          <w:rFonts w:eastAsia="Aptos"/>
          <w:sz w:val="24"/>
          <w:szCs w:val="24"/>
        </w:rPr>
        <w:t>’s</w:t>
      </w:r>
      <w:r w:rsidRPr="5D511374" w:rsidR="2E2EE511">
        <w:rPr>
          <w:rFonts w:eastAsia="Aptos"/>
          <w:sz w:val="24"/>
          <w:szCs w:val="24"/>
        </w:rPr>
        <w:t xml:space="preserve"> signat</w:t>
      </w:r>
      <w:r w:rsidRPr="5D511374" w:rsidR="2E2EE511">
        <w:rPr>
          <w:rFonts w:eastAsia="Aptos"/>
          <w:sz w:val="24"/>
          <w:szCs w:val="24"/>
        </w:rPr>
        <w:t>ure (</w:t>
      </w:r>
      <w:r w:rsidRPr="5D511374" w:rsidR="2E2EE511">
        <w:rPr>
          <w:rFonts w:eastAsia="Aptos"/>
          <w:sz w:val="24"/>
          <w:szCs w:val="24"/>
        </w:rPr>
        <w:t>LMSW</w:t>
      </w:r>
      <w:r w:rsidRPr="5D511374" w:rsidR="2E2EE511">
        <w:rPr>
          <w:rFonts w:eastAsia="Aptos"/>
          <w:sz w:val="24"/>
          <w:szCs w:val="24"/>
        </w:rPr>
        <w:t xml:space="preserve">/LCSW </w:t>
      </w:r>
      <w:r w:rsidRPr="5D511374" w:rsidR="5EEEB05B">
        <w:rPr>
          <w:rFonts w:eastAsia="Aptos"/>
          <w:sz w:val="24"/>
          <w:szCs w:val="24"/>
        </w:rPr>
        <w:t xml:space="preserve">has </w:t>
      </w:r>
      <w:r w:rsidRPr="5D511374" w:rsidR="2E2EE511">
        <w:rPr>
          <w:rFonts w:eastAsia="Aptos"/>
          <w:sz w:val="24"/>
          <w:szCs w:val="24"/>
        </w:rPr>
        <w:t xml:space="preserve">signed) </w:t>
      </w:r>
    </w:p>
    <w:p w:rsidRPr="006B3B39" w:rsidR="00075DC8" w:rsidP="5D511374" w:rsidRDefault="34C6D50E" w14:paraId="48B3D6D5" w14:textId="1507B2A3" w14:noSpellErr="1">
      <w:pPr>
        <w:pStyle w:val="ListParagraph"/>
        <w:numPr>
          <w:ilvl w:val="0"/>
          <w:numId w:val="1"/>
        </w:numPr>
        <w:spacing w:after="0" w:line="259" w:lineRule="auto"/>
        <w:rPr>
          <w:rFonts w:eastAsia="Aptos"/>
          <w:sz w:val="24"/>
          <w:szCs w:val="24"/>
        </w:rPr>
      </w:pPr>
      <w:r w:rsidRPr="5D511374" w:rsidR="2E2EE511">
        <w:rPr>
          <w:rFonts w:eastAsia="Aptos"/>
          <w:sz w:val="24"/>
          <w:szCs w:val="24"/>
        </w:rPr>
        <w:t xml:space="preserve">Pending LMSW or LCSW signature, may still </w:t>
      </w:r>
      <w:r w:rsidRPr="5D511374" w:rsidR="2E2EE511">
        <w:rPr>
          <w:rFonts w:eastAsia="Aptos"/>
          <w:sz w:val="24"/>
          <w:szCs w:val="24"/>
        </w:rPr>
        <w:t>be in compliance</w:t>
      </w:r>
      <w:r w:rsidRPr="5D511374" w:rsidR="2E2EE511">
        <w:rPr>
          <w:rFonts w:eastAsia="Aptos"/>
          <w:sz w:val="24"/>
          <w:szCs w:val="24"/>
        </w:rPr>
        <w:t xml:space="preserve">, but not by done by UR review (outside of the 2-day policy within the 10-day workflow). </w:t>
      </w:r>
    </w:p>
    <w:p w:rsidRPr="006B3B39" w:rsidR="00075DC8" w:rsidP="5D511374" w:rsidRDefault="34C6D50E" w14:paraId="66B0BC9B" w14:textId="135AA2A1">
      <w:pPr>
        <w:pStyle w:val="ListParagraph"/>
        <w:numPr>
          <w:ilvl w:val="0"/>
          <w:numId w:val="1"/>
        </w:numPr>
        <w:spacing w:after="0" w:line="259" w:lineRule="auto"/>
        <w:rPr>
          <w:rFonts w:eastAsia="Aptos"/>
          <w:i w:val="1"/>
          <w:iCs w:val="1"/>
          <w:sz w:val="24"/>
          <w:szCs w:val="24"/>
        </w:rPr>
      </w:pPr>
      <w:r w:rsidRPr="5D511374" w:rsidR="2E2EE511">
        <w:rPr>
          <w:rFonts w:eastAsia="Aptos"/>
          <w:sz w:val="24"/>
          <w:szCs w:val="24"/>
        </w:rPr>
        <w:t xml:space="preserve">A form </w:t>
      </w:r>
      <w:r w:rsidRPr="5D511374" w:rsidR="2E2EE511">
        <w:rPr>
          <w:rFonts w:eastAsia="Aptos"/>
          <w:sz w:val="24"/>
          <w:szCs w:val="24"/>
        </w:rPr>
        <w:t>appears to be</w:t>
      </w:r>
      <w:r w:rsidRPr="5D511374" w:rsidR="2E2EE511">
        <w:rPr>
          <w:rFonts w:eastAsia="Aptos"/>
          <w:sz w:val="24"/>
          <w:szCs w:val="24"/>
        </w:rPr>
        <w:t xml:space="preserve"> uploaded incorrectly or </w:t>
      </w:r>
      <w:r w:rsidRPr="5D511374" w:rsidR="39988396">
        <w:rPr>
          <w:rFonts w:eastAsia="Aptos"/>
          <w:sz w:val="24"/>
          <w:szCs w:val="24"/>
        </w:rPr>
        <w:t>another</w:t>
      </w:r>
      <w:r w:rsidRPr="5D511374" w:rsidR="2E2EE511">
        <w:rPr>
          <w:rFonts w:eastAsia="Aptos"/>
          <w:sz w:val="24"/>
          <w:szCs w:val="24"/>
        </w:rPr>
        <w:t xml:space="preserve"> tech errors and needs to be corrected. (</w:t>
      </w:r>
      <w:r w:rsidRPr="5D511374" w:rsidR="2E2EE511">
        <w:rPr>
          <w:rFonts w:eastAsia="Aptos"/>
          <w:i w:val="1"/>
          <w:iCs w:val="1"/>
          <w:sz w:val="24"/>
          <w:szCs w:val="24"/>
        </w:rPr>
        <w:t xml:space="preserve">May change as workflow changes to operations) </w:t>
      </w:r>
    </w:p>
    <w:p w:rsidR="5B66E074" w:rsidP="5D511374" w:rsidRDefault="5B66E074" w14:paraId="731A5301" w14:textId="2786A484">
      <w:pPr>
        <w:pStyle w:val="ListParagraph"/>
        <w:numPr>
          <w:ilvl w:val="0"/>
          <w:numId w:val="1"/>
        </w:numPr>
        <w:spacing w:after="0" w:line="259" w:lineRule="auto"/>
        <w:rPr>
          <w:rFonts w:eastAsia="Times New Roman"/>
          <w:sz w:val="24"/>
          <w:szCs w:val="24"/>
        </w:rPr>
      </w:pPr>
      <w:r w:rsidRPr="5D511374" w:rsidR="5B66E074">
        <w:rPr>
          <w:noProof w:val="0"/>
          <w:sz w:val="24"/>
          <w:szCs w:val="24"/>
          <w:lang w:val="en-US"/>
        </w:rPr>
        <w:t xml:space="preserve">Collaboration is recognized as beneficial; however, the client is new to treatment. If the treatment plan or integrated care plan includes an </w:t>
      </w:r>
      <w:r w:rsidRPr="5D511374" w:rsidR="5B66E074">
        <w:rPr>
          <w:noProof w:val="0"/>
          <w:sz w:val="24"/>
          <w:szCs w:val="24"/>
          <w:lang w:val="en-US"/>
        </w:rPr>
        <w:t>objective</w:t>
      </w:r>
      <w:r w:rsidRPr="5D511374" w:rsidR="5B66E074">
        <w:rPr>
          <w:noProof w:val="0"/>
          <w:sz w:val="24"/>
          <w:szCs w:val="24"/>
          <w:lang w:val="en-US"/>
        </w:rPr>
        <w:t xml:space="preserve"> referencing the need for collaboration with a collateral, a </w:t>
      </w:r>
      <w:r w:rsidRPr="5D511374" w:rsidR="5B66E074">
        <w:rPr>
          <w:noProof w:val="0"/>
          <w:sz w:val="24"/>
          <w:szCs w:val="24"/>
          <w:lang w:val="en-US"/>
        </w:rPr>
        <w:t>.5</w:t>
      </w:r>
      <w:r w:rsidRPr="5D511374" w:rsidR="5B66E074">
        <w:rPr>
          <w:noProof w:val="0"/>
          <w:sz w:val="24"/>
          <w:szCs w:val="24"/>
          <w:lang w:val="en-US"/>
        </w:rPr>
        <w:t xml:space="preserve"> deduction will be applied to the Clinical Standards and Treatment box, </w:t>
      </w:r>
      <w:r w:rsidRPr="5D511374" w:rsidR="5B66E074">
        <w:rPr>
          <w:noProof w:val="0"/>
          <w:sz w:val="24"/>
          <w:szCs w:val="24"/>
          <w:lang w:val="en-US"/>
        </w:rPr>
        <w:t>indicating</w:t>
      </w:r>
      <w:r w:rsidRPr="5D511374" w:rsidR="5B66E074">
        <w:rPr>
          <w:noProof w:val="0"/>
          <w:sz w:val="24"/>
          <w:szCs w:val="24"/>
          <w:lang w:val="en-US"/>
        </w:rPr>
        <w:t xml:space="preserve"> that collaboration is recommended. </w:t>
      </w:r>
    </w:p>
    <w:p w:rsidR="5D511374" w:rsidP="5D511374" w:rsidRDefault="5D511374" w14:paraId="19D1CDE5" w14:textId="070B506D">
      <w:pPr>
        <w:pStyle w:val="ListParagraph"/>
        <w:spacing w:after="0" w:line="259" w:lineRule="auto"/>
        <w:ind w:left="720"/>
        <w:rPr>
          <w:rFonts w:eastAsia="Times New Roman"/>
          <w:sz w:val="24"/>
          <w:szCs w:val="24"/>
        </w:rPr>
      </w:pPr>
    </w:p>
    <w:p w:rsidRPr="006B3B39" w:rsidR="006B3B39" w:rsidP="5D511374" w:rsidRDefault="006B3B39" w14:paraId="232741A4" w14:textId="699C317B" w14:noSpellErr="1">
      <w:pPr>
        <w:jc w:val="center"/>
        <w:rPr>
          <w:rFonts w:cs="Calibri" w:cstheme="minorAscii"/>
          <w:b w:val="1"/>
          <w:bCs w:val="1"/>
          <w:sz w:val="28"/>
          <w:szCs w:val="28"/>
        </w:rPr>
      </w:pPr>
      <w:r w:rsidRPr="5D511374" w:rsidR="475F7951">
        <w:rPr>
          <w:rFonts w:cs="Calibri" w:cstheme="minorAscii"/>
          <w:b w:val="1"/>
          <w:bCs w:val="1"/>
          <w:sz w:val="28"/>
          <w:szCs w:val="28"/>
        </w:rPr>
        <w:t>Comment Box</w:t>
      </w:r>
    </w:p>
    <w:p w:rsidR="1DE7E82C" w:rsidP="5D511374" w:rsidRDefault="1DE7E82C" w14:paraId="31A907A7" w14:textId="225AC41B">
      <w:pPr>
        <w:bidi w:val="0"/>
        <w:spacing w:before="0" w:beforeAutospacing="off" w:after="16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D511374" w:rsidR="1DE7E82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comment box will provide a summary of key areas of importance and improvement </w:t>
      </w:r>
      <w:r w:rsidRPr="5D511374" w:rsidR="1DE7E82C">
        <w:rPr>
          <w:rFonts w:ascii="Calibri" w:hAnsi="Calibri" w:eastAsia="Calibri" w:cs="Calibri"/>
          <w:noProof w:val="0"/>
          <w:sz w:val="24"/>
          <w:szCs w:val="24"/>
          <w:lang w:val="en-US"/>
        </w:rPr>
        <w:t>identified</w:t>
      </w:r>
      <w:r w:rsidRPr="5D511374" w:rsidR="1DE7E82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across the UR. </w:t>
      </w:r>
      <w:r w:rsidRPr="5D511374" w:rsidR="1DE7E82C">
        <w:rPr>
          <w:rFonts w:ascii="Calibri" w:hAnsi="Calibri" w:eastAsia="Calibri" w:cs="Calibri"/>
          <w:noProof w:val="0"/>
          <w:sz w:val="24"/>
          <w:szCs w:val="24"/>
          <w:lang w:val="en-US"/>
        </w:rPr>
        <w:t>This will include required changes to ensure chart compliance, as well as clinical recommendations that may enhance the quality of documentation.</w:t>
      </w:r>
    </w:p>
    <w:p w:rsidRPr="006B3B39" w:rsidR="006B3B39" w:rsidP="5D511374" w:rsidRDefault="006B3B39" w14:paraId="25A9FF06" w14:textId="04C5FC49">
      <w:pPr>
        <w:pStyle w:val="ListParagraph"/>
        <w:numPr>
          <w:ilvl w:val="0"/>
          <w:numId w:val="5"/>
        </w:numPr>
        <w:rPr>
          <w:rFonts w:cs="Calibri" w:cstheme="minorAscii"/>
          <w:sz w:val="24"/>
          <w:szCs w:val="24"/>
        </w:rPr>
      </w:pPr>
      <w:r w:rsidRPr="5D511374" w:rsidR="475F7951">
        <w:rPr>
          <w:rFonts w:cs="Calibri" w:cstheme="minorAscii"/>
          <w:b w:val="1"/>
          <w:bCs w:val="1"/>
          <w:sz w:val="24"/>
          <w:szCs w:val="24"/>
        </w:rPr>
        <w:t>Required changes</w:t>
      </w:r>
      <w:r w:rsidRPr="5D511374" w:rsidR="475F7951">
        <w:rPr>
          <w:rFonts w:cs="Calibri" w:cstheme="minorAscii"/>
          <w:sz w:val="24"/>
          <w:szCs w:val="24"/>
        </w:rPr>
        <w:t xml:space="preserve"> are necessary adjustments requested by UR to bring the chart into compliance</w:t>
      </w:r>
      <w:r w:rsidRPr="5D511374" w:rsidR="73B7B3FD">
        <w:rPr>
          <w:rFonts w:cs="Calibri" w:cstheme="minorAscii"/>
          <w:sz w:val="24"/>
          <w:szCs w:val="24"/>
        </w:rPr>
        <w:t xml:space="preserve"> within the specified review period. It is recommended for these </w:t>
      </w:r>
      <w:bookmarkStart w:name="_Int_DBQloaX4" w:id="960062706"/>
      <w:r w:rsidRPr="5D511374" w:rsidR="73B7B3FD">
        <w:rPr>
          <w:rFonts w:cs="Calibri" w:cstheme="minorAscii"/>
          <w:sz w:val="24"/>
          <w:szCs w:val="24"/>
        </w:rPr>
        <w:t>changes to</w:t>
      </w:r>
      <w:bookmarkEnd w:id="960062706"/>
      <w:r w:rsidRPr="5D511374" w:rsidR="73B7B3FD">
        <w:rPr>
          <w:rFonts w:cs="Calibri" w:cstheme="minorAscii"/>
          <w:sz w:val="24"/>
          <w:szCs w:val="24"/>
        </w:rPr>
        <w:t xml:space="preserve"> still be made even if not completed within the review period. </w:t>
      </w:r>
    </w:p>
    <w:p w:rsidR="51722F71" w:rsidP="5D511374" w:rsidRDefault="51722F71" w14:paraId="780E01E9" w14:textId="0D12E7F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D511374" w:rsidR="51722F71">
        <w:rPr>
          <w:b w:val="1"/>
          <w:bCs w:val="1"/>
          <w:sz w:val="24"/>
          <w:szCs w:val="24"/>
        </w:rPr>
        <w:t>Clinical recommendation</w:t>
      </w:r>
      <w:r w:rsidRPr="5D511374" w:rsidR="3A4D6D90">
        <w:rPr>
          <w:b w:val="1"/>
          <w:bCs w:val="1"/>
          <w:sz w:val="24"/>
          <w:szCs w:val="24"/>
        </w:rPr>
        <w:t>s</w:t>
      </w:r>
      <w:r w:rsidRPr="5D511374" w:rsidR="3A4D6D90">
        <w:rPr>
          <w:sz w:val="24"/>
          <w:szCs w:val="24"/>
        </w:rPr>
        <w:t xml:space="preserve"> suggest improvements to enhance documentation and move the chart toward exemplary status</w:t>
      </w:r>
      <w:r w:rsidRPr="5D511374" w:rsidR="49DB1733">
        <w:rPr>
          <w:sz w:val="24"/>
          <w:szCs w:val="24"/>
        </w:rPr>
        <w:t xml:space="preserve"> and/or enhancing the quality of the clinical care. </w:t>
      </w:r>
    </w:p>
    <w:p w:rsidR="629B4C6F" w:rsidP="5D511374" w:rsidRDefault="629B4C6F" w14:paraId="3DD4E42C" w14:textId="7364FC18">
      <w:pPr>
        <w:pStyle w:val="Normal"/>
        <w:spacing w:after="0" w:line="240" w:lineRule="auto"/>
        <w:jc w:val="center"/>
        <w:rPr>
          <w:rFonts w:eastAsia="Calibri" w:cs="Calibri" w:cstheme="minorAscii"/>
          <w:b w:val="1"/>
          <w:bCs w:val="1"/>
          <w:color w:val="000000" w:themeColor="text1"/>
          <w:sz w:val="28"/>
          <w:szCs w:val="28"/>
        </w:rPr>
      </w:pPr>
      <w:r w:rsidRPr="5D511374" w:rsidR="3D7D3A4C">
        <w:rPr>
          <w:rFonts w:eastAsia="Calibri" w:cs="Calibri" w:cstheme="minorAscii"/>
          <w:b w:val="1"/>
          <w:bCs w:val="1"/>
          <w:color w:val="000000" w:themeColor="text1" w:themeTint="FF" w:themeShade="FF"/>
          <w:sz w:val="28"/>
          <w:szCs w:val="28"/>
        </w:rPr>
        <w:t>Scoring and Corrective Action</w:t>
      </w:r>
    </w:p>
    <w:p w:rsidRPr="006B3B39" w:rsidR="00075DC8" w:rsidP="5D511374" w:rsidRDefault="77B61D4C" w14:paraId="698DCBB0" w14:textId="2E61D804">
      <w:pPr>
        <w:pStyle w:val="Normal"/>
        <w:rPr>
          <w:rFonts w:eastAsia="Calibri" w:cs="Calibri" w:cstheme="minorAscii"/>
          <w:color w:val="000000" w:themeColor="text1"/>
          <w:sz w:val="24"/>
          <w:szCs w:val="24"/>
        </w:rPr>
      </w:pPr>
      <w:r w:rsidRPr="5D511374" w:rsidR="32BFED4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a staff member receives a </w:t>
      </w:r>
      <w:r w:rsidRPr="5D511374" w:rsidR="2A7AD26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repeated </w:t>
      </w:r>
      <w:r w:rsidRPr="5D511374" w:rsidR="32BFED4C">
        <w:rPr>
          <w:rFonts w:ascii="Calibri" w:hAnsi="Calibri" w:eastAsia="Calibri" w:cs="Calibri"/>
          <w:noProof w:val="0"/>
          <w:sz w:val="24"/>
          <w:szCs w:val="24"/>
          <w:lang w:val="en-US"/>
        </w:rPr>
        <w:t>score of 1 in an assessed area, the compliance team may recommend 1:1 compliance coaching</w:t>
      </w:r>
      <w:r w:rsidRPr="5D511374" w:rsidR="0005701C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.</w:t>
      </w:r>
    </w:p>
    <w:p w:rsidR="49626D6C" w:rsidP="5D511374" w:rsidRDefault="49626D6C" w14:paraId="2F162529" w14:textId="58F92BE1">
      <w:pPr>
        <w:pStyle w:val="Normal"/>
      </w:pPr>
      <w:r w:rsidRPr="5D511374" w:rsidR="49626D6C">
        <w:rPr>
          <w:rFonts w:ascii="Calibri" w:hAnsi="Calibri" w:eastAsia="Calibri" w:cs="Calibri"/>
          <w:noProof w:val="0"/>
          <w:sz w:val="24"/>
          <w:szCs w:val="24"/>
          <w:lang w:val="en-US"/>
        </w:rPr>
        <w:t>If a staff member receives a repeated score of 2 in an assessed area, the compliance team may recommend 1:1 compliance coaching</w:t>
      </w:r>
    </w:p>
    <w:p w:rsidRPr="006B3B39" w:rsidR="0A9021C6" w:rsidP="6EF71673" w:rsidRDefault="6ACC3702" w14:paraId="5EA25E10" w14:textId="03CA87E4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5D511374" w:rsidR="676B7395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>I</w:t>
      </w:r>
      <w:r w:rsidRPr="5D511374" w:rsidR="7897A88C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>ndividual staffing disciplinary action</w:t>
      </w:r>
      <w:r w:rsidRPr="5D511374" w:rsidR="26E75E5D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 </w:t>
      </w:r>
      <w:r w:rsidRPr="5D511374" w:rsidR="34279462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may </w:t>
      </w:r>
      <w:r w:rsidRPr="5D511374" w:rsidR="7897A88C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come from the program leadership </w:t>
      </w:r>
      <w:r w:rsidRPr="5D511374" w:rsidR="65E930AA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with </w:t>
      </w:r>
      <w:r w:rsidRPr="5D511374" w:rsidR="051338BB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>collaboration</w:t>
      </w:r>
      <w:r w:rsidRPr="5D511374" w:rsidR="7897A88C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 </w:t>
      </w:r>
      <w:r w:rsidRPr="5D511374" w:rsidR="3D02D5E9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from </w:t>
      </w:r>
      <w:r w:rsidRPr="5D511374" w:rsidR="7897A88C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the </w:t>
      </w:r>
      <w:r w:rsidRPr="5D511374" w:rsidR="79C33442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>C</w:t>
      </w:r>
      <w:r w:rsidRPr="5D511374" w:rsidR="7897A88C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 xml:space="preserve">ompliance team. </w:t>
      </w:r>
    </w:p>
    <w:p w:rsidRPr="006B3B39" w:rsidR="0A9021C6" w:rsidP="5D511374" w:rsidRDefault="0A9021C6" w14:paraId="4AED57B4" w14:textId="77DAF2C8">
      <w:pPr>
        <w:rPr>
          <w:rFonts w:cs="Calibri" w:cstheme="minorAscii"/>
          <w:sz w:val="24"/>
          <w:szCs w:val="24"/>
        </w:rPr>
      </w:pPr>
    </w:p>
    <w:p w:rsidR="2E6DFE87" w:rsidP="5D511374" w:rsidRDefault="2E6DFE87" w14:paraId="7B07324C" w14:textId="2D3E1D74">
      <w:pPr>
        <w:rPr>
          <w:rFonts w:eastAsia="Calibri" w:cs="Calibri" w:cstheme="minorAscii"/>
          <w:color w:val="000000" w:themeColor="text1" w:themeTint="FF" w:themeShade="FF"/>
          <w:sz w:val="24"/>
          <w:szCs w:val="24"/>
        </w:rPr>
      </w:pPr>
      <w:r w:rsidRPr="5D511374" w:rsidR="2E6DFE8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If the program scores below a 3, the Behavioral Health Compliance Manager</w:t>
      </w:r>
      <w:r w:rsidRPr="5D511374" w:rsidR="02F16EB6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(BHCM)</w:t>
      </w:r>
      <w:r w:rsidRPr="5D511374" w:rsidR="2E6DFE8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5D511374" w:rsidR="2E6DFE8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will work with </w:t>
      </w:r>
      <w:r w:rsidRPr="5D511374" w:rsidR="769A78C9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program </w:t>
      </w:r>
      <w:r w:rsidRPr="5D511374" w:rsidR="2E6DFE8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leadership to develop a Corrective Action Plan. Compliance team </w:t>
      </w:r>
      <w:r w:rsidRPr="5D511374" w:rsidR="2E6DFE8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assists</w:t>
      </w:r>
      <w:r w:rsidRPr="5D511374" w:rsidR="2E6DFE8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with monitoring. If this is a repeated issue (preliminarily defined as 3 consecutive months), then disciplinary action is needed.</w:t>
      </w:r>
    </w:p>
    <w:p w:rsidR="2E6DFE87" w:rsidP="5D511374" w:rsidRDefault="2E6DFE87" w14:noSpellErr="1" w14:paraId="50A68DF8" w14:textId="51DD6E72">
      <w:pPr>
        <w:rPr>
          <w:rFonts w:eastAsia="Calibri" w:cs="Calibri" w:cstheme="minorAscii"/>
          <w:color w:val="000000" w:themeColor="text1" w:themeTint="FF" w:themeShade="FF"/>
          <w:sz w:val="24"/>
          <w:szCs w:val="24"/>
        </w:rPr>
      </w:pPr>
      <w:r w:rsidRPr="5D511374" w:rsidR="2E6DFE87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If there is a repeat score of 2 (2+ consecutive months), then disciplinary action is needed. BHCM will partner with program leadership to follow up on individual corrective action plan steps.</w:t>
      </w:r>
    </w:p>
    <w:p w:rsidR="2E6DFE87" w:rsidP="5D511374" w:rsidRDefault="2E6DFE87" w14:paraId="43577B15" w14:textId="30B447B4">
      <w:pPr>
        <w:spacing w:after="0" w:line="240" w:lineRule="auto"/>
        <w:rPr>
          <w:rFonts w:eastAsia="Calibri"/>
          <w:color w:val="000000" w:themeColor="text1" w:themeTint="FF" w:themeShade="FF"/>
          <w:sz w:val="24"/>
          <w:szCs w:val="24"/>
        </w:rPr>
      </w:pPr>
      <w:r w:rsidRPr="5D511374" w:rsidR="2E6DFE87">
        <w:rPr>
          <w:rStyle w:val="normaltextrun"/>
          <w:rFonts w:eastAsia="Calibri"/>
          <w:color w:val="000000" w:themeColor="text1" w:themeTint="FF" w:themeShade="FF"/>
          <w:sz w:val="24"/>
          <w:szCs w:val="24"/>
        </w:rPr>
        <w:t>For program disciplinary action, this will be directed by Compliance team with inclusion of VP of Behavioral Health Integration.</w:t>
      </w:r>
    </w:p>
    <w:p w:rsidR="5D511374" w:rsidP="5D511374" w:rsidRDefault="5D511374" w14:paraId="2EBB960C" w14:textId="4F3EFF06">
      <w:pPr>
        <w:rPr>
          <w:rFonts w:cs="Calibri" w:cstheme="minorAscii"/>
          <w:sz w:val="24"/>
          <w:szCs w:val="24"/>
        </w:rPr>
      </w:pPr>
    </w:p>
    <w:sectPr w:rsidRPr="006B3B39" w:rsidR="0A9021C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10E" w:rsidP="00A2247C" w:rsidRDefault="0049310E" w14:paraId="5A0605B7" w14:textId="77777777">
      <w:pPr>
        <w:spacing w:after="0" w:line="240" w:lineRule="auto"/>
      </w:pPr>
      <w:r>
        <w:separator/>
      </w:r>
    </w:p>
  </w:endnote>
  <w:endnote w:type="continuationSeparator" w:id="0">
    <w:p w:rsidR="0049310E" w:rsidP="00A2247C" w:rsidRDefault="0049310E" w14:paraId="4DFC9CCC" w14:textId="77777777">
      <w:pPr>
        <w:spacing w:after="0" w:line="240" w:lineRule="auto"/>
      </w:pPr>
      <w:r>
        <w:continuationSeparator/>
      </w:r>
    </w:p>
  </w:endnote>
  <w:endnote w:type="continuationNotice" w:id="1">
    <w:p w:rsidR="0049310E" w:rsidRDefault="0049310E" w14:paraId="0BCE664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9021C6" w:rsidP="0A9021C6" w:rsidRDefault="0A9021C6" w14:paraId="27FD581B" w14:textId="2159648B">
    <w:pPr>
      <w:pStyle w:val="Footer"/>
    </w:pPr>
    <w:r w:rsidR="5D511374">
      <w:rPr/>
      <w:t>Update: 2/</w:t>
    </w:r>
    <w:r w:rsidR="5D511374">
      <w:rPr/>
      <w:t>20</w:t>
    </w:r>
    <w:r w:rsidR="5D511374">
      <w:rPr/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10E" w:rsidP="00A2247C" w:rsidRDefault="0049310E" w14:paraId="1B23F8F9" w14:textId="77777777">
      <w:pPr>
        <w:spacing w:after="0" w:line="240" w:lineRule="auto"/>
      </w:pPr>
      <w:r>
        <w:separator/>
      </w:r>
    </w:p>
  </w:footnote>
  <w:footnote w:type="continuationSeparator" w:id="0">
    <w:p w:rsidR="0049310E" w:rsidP="00A2247C" w:rsidRDefault="0049310E" w14:paraId="51FD6523" w14:textId="77777777">
      <w:pPr>
        <w:spacing w:after="0" w:line="240" w:lineRule="auto"/>
      </w:pPr>
      <w:r>
        <w:continuationSeparator/>
      </w:r>
    </w:p>
  </w:footnote>
  <w:footnote w:type="continuationNotice" w:id="1">
    <w:p w:rsidR="0049310E" w:rsidRDefault="0049310E" w14:paraId="6F9BF4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9021C6" w:rsidTr="0A9021C6" w14:paraId="31E4683C" w14:textId="77777777">
      <w:trPr>
        <w:trHeight w:val="300"/>
      </w:trPr>
      <w:tc>
        <w:tcPr>
          <w:tcW w:w="3120" w:type="dxa"/>
        </w:tcPr>
        <w:p w:rsidR="0A9021C6" w:rsidP="0A9021C6" w:rsidRDefault="0A9021C6" w14:paraId="78E3638F" w14:textId="4CD17A0C">
          <w:pPr>
            <w:pStyle w:val="Header"/>
            <w:ind w:left="-115"/>
          </w:pPr>
        </w:p>
      </w:tc>
      <w:tc>
        <w:tcPr>
          <w:tcW w:w="3120" w:type="dxa"/>
        </w:tcPr>
        <w:p w:rsidR="0A9021C6" w:rsidP="0A9021C6" w:rsidRDefault="0A9021C6" w14:paraId="055E2BDD" w14:textId="536C7DE4">
          <w:pPr>
            <w:pStyle w:val="Header"/>
            <w:jc w:val="center"/>
          </w:pPr>
        </w:p>
      </w:tc>
      <w:tc>
        <w:tcPr>
          <w:tcW w:w="3120" w:type="dxa"/>
        </w:tcPr>
        <w:p w:rsidR="0A9021C6" w:rsidP="0A9021C6" w:rsidRDefault="0A9021C6" w14:paraId="36C04C6A" w14:textId="369E26A3">
          <w:pPr>
            <w:pStyle w:val="Header"/>
            <w:ind w:right="-115"/>
            <w:jc w:val="right"/>
          </w:pPr>
        </w:p>
      </w:tc>
    </w:tr>
  </w:tbl>
  <w:p w:rsidR="0A9021C6" w:rsidP="0A9021C6" w:rsidRDefault="0A9021C6" w14:paraId="72789967" w14:textId="233AC34C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BQloaX4" int2:invalidationBookmarkName="" int2:hashCode="7anqeJhGQcoISG" int2:id="2x47TCbd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20a76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0C0FC3"/>
    <w:multiLevelType w:val="hybridMultilevel"/>
    <w:tmpl w:val="D7EC14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4D5AE6"/>
    <w:multiLevelType w:val="hybridMultilevel"/>
    <w:tmpl w:val="FD0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6B1CF6"/>
    <w:multiLevelType w:val="multilevel"/>
    <w:tmpl w:val="A42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D96688"/>
    <w:multiLevelType w:val="hybridMultilevel"/>
    <w:tmpl w:val="7B027270"/>
    <w:lvl w:ilvl="0" w:tplc="A7862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74EE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401B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12B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A3D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141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988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CCF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A8C6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216782"/>
    <w:multiLevelType w:val="multilevel"/>
    <w:tmpl w:val="59DCB470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hint="default" w:ascii="Wingdings" w:hAnsi="Wingdings"/>
        <w:sz w:val="20"/>
      </w:rPr>
    </w:lvl>
  </w:abstractNum>
  <w:num w:numId="6">
    <w:abstractNumId w:val="5"/>
  </w:num>
  <w:num w:numId="1" w16cid:durableId="1475682767">
    <w:abstractNumId w:val="3"/>
  </w:num>
  <w:num w:numId="2" w16cid:durableId="1494762240">
    <w:abstractNumId w:val="2"/>
  </w:num>
  <w:num w:numId="3" w16cid:durableId="1554928539">
    <w:abstractNumId w:val="4"/>
  </w:num>
  <w:num w:numId="4" w16cid:durableId="72363131">
    <w:abstractNumId w:val="1"/>
  </w:num>
  <w:num w:numId="5" w16cid:durableId="120451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86B164"/>
    <w:rsid w:val="000066B0"/>
    <w:rsid w:val="00044864"/>
    <w:rsid w:val="0005701C"/>
    <w:rsid w:val="000628BD"/>
    <w:rsid w:val="00075DC8"/>
    <w:rsid w:val="000832FC"/>
    <w:rsid w:val="000A50C0"/>
    <w:rsid w:val="001470CB"/>
    <w:rsid w:val="0018258A"/>
    <w:rsid w:val="00195E3F"/>
    <w:rsid w:val="00199D44"/>
    <w:rsid w:val="001A0655"/>
    <w:rsid w:val="001D519C"/>
    <w:rsid w:val="001F579B"/>
    <w:rsid w:val="00276F8C"/>
    <w:rsid w:val="0028604A"/>
    <w:rsid w:val="002B11D4"/>
    <w:rsid w:val="002D21B1"/>
    <w:rsid w:val="00324505"/>
    <w:rsid w:val="003E5A71"/>
    <w:rsid w:val="00415DC5"/>
    <w:rsid w:val="00464C10"/>
    <w:rsid w:val="004769E6"/>
    <w:rsid w:val="0049310E"/>
    <w:rsid w:val="004C552C"/>
    <w:rsid w:val="005063A2"/>
    <w:rsid w:val="006B3B39"/>
    <w:rsid w:val="006D4FDA"/>
    <w:rsid w:val="00727041"/>
    <w:rsid w:val="007718DC"/>
    <w:rsid w:val="007B5E77"/>
    <w:rsid w:val="007E4478"/>
    <w:rsid w:val="0080549E"/>
    <w:rsid w:val="00850A1A"/>
    <w:rsid w:val="00887CCF"/>
    <w:rsid w:val="00897FE4"/>
    <w:rsid w:val="008E51CC"/>
    <w:rsid w:val="008F022F"/>
    <w:rsid w:val="008F10BF"/>
    <w:rsid w:val="008F258A"/>
    <w:rsid w:val="00986C64"/>
    <w:rsid w:val="00996D8E"/>
    <w:rsid w:val="009F30D5"/>
    <w:rsid w:val="00A2247C"/>
    <w:rsid w:val="00A22E08"/>
    <w:rsid w:val="00A421BA"/>
    <w:rsid w:val="00AD0DBD"/>
    <w:rsid w:val="00B57459"/>
    <w:rsid w:val="00B62153"/>
    <w:rsid w:val="00B97CF1"/>
    <w:rsid w:val="00BD25E1"/>
    <w:rsid w:val="00C65CB5"/>
    <w:rsid w:val="00C80419"/>
    <w:rsid w:val="00C83427"/>
    <w:rsid w:val="00CA17F4"/>
    <w:rsid w:val="00D06F06"/>
    <w:rsid w:val="00D362DC"/>
    <w:rsid w:val="00DF2918"/>
    <w:rsid w:val="00E16D4A"/>
    <w:rsid w:val="00E25551"/>
    <w:rsid w:val="00E52C55"/>
    <w:rsid w:val="00EB38C9"/>
    <w:rsid w:val="00F146AA"/>
    <w:rsid w:val="00F66552"/>
    <w:rsid w:val="00FA71B7"/>
    <w:rsid w:val="01F5D49C"/>
    <w:rsid w:val="02BE437C"/>
    <w:rsid w:val="02F16EB6"/>
    <w:rsid w:val="051338BB"/>
    <w:rsid w:val="055E23CA"/>
    <w:rsid w:val="059684C4"/>
    <w:rsid w:val="06DFD231"/>
    <w:rsid w:val="0949E780"/>
    <w:rsid w:val="0A9021C6"/>
    <w:rsid w:val="0B58D86C"/>
    <w:rsid w:val="0C05F17E"/>
    <w:rsid w:val="0C28AC5D"/>
    <w:rsid w:val="0C61B9F9"/>
    <w:rsid w:val="0CDC6C5F"/>
    <w:rsid w:val="0E107404"/>
    <w:rsid w:val="0E5B0A7C"/>
    <w:rsid w:val="0F38A593"/>
    <w:rsid w:val="0F457631"/>
    <w:rsid w:val="0F868ED9"/>
    <w:rsid w:val="0FBA3D08"/>
    <w:rsid w:val="0FE21645"/>
    <w:rsid w:val="10D76550"/>
    <w:rsid w:val="10F2582D"/>
    <w:rsid w:val="11AD628F"/>
    <w:rsid w:val="13307EE8"/>
    <w:rsid w:val="1386B164"/>
    <w:rsid w:val="13E4DE2D"/>
    <w:rsid w:val="14FE3A91"/>
    <w:rsid w:val="157C7513"/>
    <w:rsid w:val="162D6F73"/>
    <w:rsid w:val="1655E493"/>
    <w:rsid w:val="16AEC1D2"/>
    <w:rsid w:val="178EEE70"/>
    <w:rsid w:val="179B9392"/>
    <w:rsid w:val="18AC3934"/>
    <w:rsid w:val="19132156"/>
    <w:rsid w:val="19AD6506"/>
    <w:rsid w:val="1AAD8D81"/>
    <w:rsid w:val="1ABBEB4B"/>
    <w:rsid w:val="1AF93CCA"/>
    <w:rsid w:val="1BC7CC0C"/>
    <w:rsid w:val="1BE007FE"/>
    <w:rsid w:val="1BF2EE8F"/>
    <w:rsid w:val="1C7E70A0"/>
    <w:rsid w:val="1D2E4AA4"/>
    <w:rsid w:val="1DE7E82C"/>
    <w:rsid w:val="1E005C43"/>
    <w:rsid w:val="1E334109"/>
    <w:rsid w:val="1ED241E6"/>
    <w:rsid w:val="1F08A77D"/>
    <w:rsid w:val="2077D607"/>
    <w:rsid w:val="21028462"/>
    <w:rsid w:val="2139B040"/>
    <w:rsid w:val="2220E50A"/>
    <w:rsid w:val="24011C32"/>
    <w:rsid w:val="26976394"/>
    <w:rsid w:val="26E75E5D"/>
    <w:rsid w:val="270A0B61"/>
    <w:rsid w:val="27EB1164"/>
    <w:rsid w:val="28091385"/>
    <w:rsid w:val="28461FFC"/>
    <w:rsid w:val="28A29D03"/>
    <w:rsid w:val="2A5F736A"/>
    <w:rsid w:val="2A7AD260"/>
    <w:rsid w:val="2CAC204F"/>
    <w:rsid w:val="2CAE43E5"/>
    <w:rsid w:val="2CEB6DC2"/>
    <w:rsid w:val="2D0627C6"/>
    <w:rsid w:val="2D86C8D6"/>
    <w:rsid w:val="2DD5C428"/>
    <w:rsid w:val="2E2EE511"/>
    <w:rsid w:val="2E6DFE87"/>
    <w:rsid w:val="2F35EBF9"/>
    <w:rsid w:val="2F365C27"/>
    <w:rsid w:val="2F719489"/>
    <w:rsid w:val="305D69F6"/>
    <w:rsid w:val="30A7D25A"/>
    <w:rsid w:val="30C79817"/>
    <w:rsid w:val="3156AF17"/>
    <w:rsid w:val="318D8D28"/>
    <w:rsid w:val="3264BB5A"/>
    <w:rsid w:val="32BFED4C"/>
    <w:rsid w:val="32C64E81"/>
    <w:rsid w:val="34279462"/>
    <w:rsid w:val="346EDBC4"/>
    <w:rsid w:val="3474A8C7"/>
    <w:rsid w:val="3485F729"/>
    <w:rsid w:val="34C6D50E"/>
    <w:rsid w:val="34D059BA"/>
    <w:rsid w:val="35247D0A"/>
    <w:rsid w:val="35633EEB"/>
    <w:rsid w:val="35B6ABEB"/>
    <w:rsid w:val="35C5C9C0"/>
    <w:rsid w:val="35E0E2C0"/>
    <w:rsid w:val="35FD17CD"/>
    <w:rsid w:val="36066319"/>
    <w:rsid w:val="36A377E4"/>
    <w:rsid w:val="36A98CF8"/>
    <w:rsid w:val="370128C0"/>
    <w:rsid w:val="3758ACA8"/>
    <w:rsid w:val="37637E11"/>
    <w:rsid w:val="381EF040"/>
    <w:rsid w:val="38BDFAD7"/>
    <w:rsid w:val="39988396"/>
    <w:rsid w:val="3A4D6D90"/>
    <w:rsid w:val="3A7E428F"/>
    <w:rsid w:val="3AEE28D1"/>
    <w:rsid w:val="3B05166D"/>
    <w:rsid w:val="3BD0125D"/>
    <w:rsid w:val="3D02D5E9"/>
    <w:rsid w:val="3D7D3A4C"/>
    <w:rsid w:val="3E01A681"/>
    <w:rsid w:val="3E97644C"/>
    <w:rsid w:val="3FD7DA29"/>
    <w:rsid w:val="40C29457"/>
    <w:rsid w:val="41D9F777"/>
    <w:rsid w:val="41DB9270"/>
    <w:rsid w:val="42442D6E"/>
    <w:rsid w:val="439477D2"/>
    <w:rsid w:val="441115E6"/>
    <w:rsid w:val="447A6BAF"/>
    <w:rsid w:val="44932857"/>
    <w:rsid w:val="45D13A5A"/>
    <w:rsid w:val="462D9548"/>
    <w:rsid w:val="46343771"/>
    <w:rsid w:val="46390DBD"/>
    <w:rsid w:val="465B38CA"/>
    <w:rsid w:val="473F2F34"/>
    <w:rsid w:val="475F7951"/>
    <w:rsid w:val="4898BEFD"/>
    <w:rsid w:val="49626D6C"/>
    <w:rsid w:val="49DB1733"/>
    <w:rsid w:val="4AAD58E8"/>
    <w:rsid w:val="4AB93023"/>
    <w:rsid w:val="4B8071B1"/>
    <w:rsid w:val="4BCC6752"/>
    <w:rsid w:val="4C46E52D"/>
    <w:rsid w:val="4C5FCB21"/>
    <w:rsid w:val="4D40D5F1"/>
    <w:rsid w:val="4E7EDC2A"/>
    <w:rsid w:val="4EDCA652"/>
    <w:rsid w:val="4EFD38FB"/>
    <w:rsid w:val="4F581F48"/>
    <w:rsid w:val="51198B86"/>
    <w:rsid w:val="51722F71"/>
    <w:rsid w:val="51B23D57"/>
    <w:rsid w:val="525F22A9"/>
    <w:rsid w:val="52A59DD2"/>
    <w:rsid w:val="54111B4F"/>
    <w:rsid w:val="5436AC50"/>
    <w:rsid w:val="5543A53E"/>
    <w:rsid w:val="5682B24F"/>
    <w:rsid w:val="57F07AF1"/>
    <w:rsid w:val="5A1A2427"/>
    <w:rsid w:val="5A60318E"/>
    <w:rsid w:val="5AC8DBBE"/>
    <w:rsid w:val="5AFB7BEC"/>
    <w:rsid w:val="5B420302"/>
    <w:rsid w:val="5B66E074"/>
    <w:rsid w:val="5BAF8A72"/>
    <w:rsid w:val="5BCA4B30"/>
    <w:rsid w:val="5C4A4EC4"/>
    <w:rsid w:val="5D1E7CA6"/>
    <w:rsid w:val="5D511374"/>
    <w:rsid w:val="5DD3A6F9"/>
    <w:rsid w:val="5E5EB46D"/>
    <w:rsid w:val="5E6C51C5"/>
    <w:rsid w:val="5EDCB68D"/>
    <w:rsid w:val="5EEEB05B"/>
    <w:rsid w:val="5F9EA170"/>
    <w:rsid w:val="60B25667"/>
    <w:rsid w:val="623170ED"/>
    <w:rsid w:val="629B4C6F"/>
    <w:rsid w:val="640C3314"/>
    <w:rsid w:val="6464FB5C"/>
    <w:rsid w:val="65134370"/>
    <w:rsid w:val="656457F0"/>
    <w:rsid w:val="65E930AA"/>
    <w:rsid w:val="65FED58A"/>
    <w:rsid w:val="676B7395"/>
    <w:rsid w:val="69CF4D11"/>
    <w:rsid w:val="6ACC3702"/>
    <w:rsid w:val="6CA4B2A3"/>
    <w:rsid w:val="6D224D22"/>
    <w:rsid w:val="6D3A0CBA"/>
    <w:rsid w:val="6D42BA51"/>
    <w:rsid w:val="6D5D955B"/>
    <w:rsid w:val="6EF71673"/>
    <w:rsid w:val="6EF8CB27"/>
    <w:rsid w:val="6F547F63"/>
    <w:rsid w:val="6FE5FA29"/>
    <w:rsid w:val="707D6182"/>
    <w:rsid w:val="71CC5126"/>
    <w:rsid w:val="71E6B363"/>
    <w:rsid w:val="72589C46"/>
    <w:rsid w:val="7325BDDB"/>
    <w:rsid w:val="73B7B3FD"/>
    <w:rsid w:val="74FB6CC3"/>
    <w:rsid w:val="750E8B3B"/>
    <w:rsid w:val="753B98B2"/>
    <w:rsid w:val="761DBC32"/>
    <w:rsid w:val="769A78C9"/>
    <w:rsid w:val="76B50BD8"/>
    <w:rsid w:val="77553FA9"/>
    <w:rsid w:val="7762B6A6"/>
    <w:rsid w:val="77A226B4"/>
    <w:rsid w:val="77B61D4C"/>
    <w:rsid w:val="77E0D0F1"/>
    <w:rsid w:val="7897A88C"/>
    <w:rsid w:val="78A2850D"/>
    <w:rsid w:val="78C2641B"/>
    <w:rsid w:val="78DC23FA"/>
    <w:rsid w:val="78E5BB43"/>
    <w:rsid w:val="79351E29"/>
    <w:rsid w:val="7967D709"/>
    <w:rsid w:val="798C5475"/>
    <w:rsid w:val="79BB13B6"/>
    <w:rsid w:val="79C33442"/>
    <w:rsid w:val="7A0F08F6"/>
    <w:rsid w:val="7A57A9AA"/>
    <w:rsid w:val="7BA23270"/>
    <w:rsid w:val="7CCB26A7"/>
    <w:rsid w:val="7EDDEC59"/>
    <w:rsid w:val="7EFC9C02"/>
    <w:rsid w:val="7FDB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B164"/>
  <w15:chartTrackingRefBased/>
  <w15:docId w15:val="{5A314542-144F-435B-8601-288E7016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77B61D4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224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247C"/>
  </w:style>
  <w:style w:type="paragraph" w:styleId="Footer">
    <w:name w:val="footer"/>
    <w:basedOn w:val="Normal"/>
    <w:link w:val="FooterChar"/>
    <w:uiPriority w:val="99"/>
    <w:unhideWhenUsed/>
    <w:rsid w:val="00A224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247C"/>
  </w:style>
  <w:style w:type="paragraph" w:styleId="ListParagraph">
    <w:name w:val="List Paragraph"/>
    <w:basedOn w:val="Normal"/>
    <w:uiPriority w:val="34"/>
    <w:qFormat/>
    <w:rsid w:val="0A9021C6"/>
    <w:pPr>
      <w:ind w:left="720"/>
      <w:contextualSpacing/>
    </w:pPr>
  </w:style>
  <w:style w:type="paragraph" w:styleId="Revision">
    <w:name w:val="Revision"/>
    <w:hidden/>
    <w:uiPriority w:val="99"/>
    <w:semiHidden/>
    <w:rsid w:val="001F57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270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verflow-hidden" w:customStyle="1">
    <w:name w:val="overflow-hidden"/>
    <w:basedOn w:val="DefaultParagraphFont"/>
    <w:rsid w:val="0072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ac83280772d34a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dd9e558-cb30-4040-a170-589c5446b749">
      <UserInfo>
        <DisplayName>Nerette, Elika</DisplayName>
        <AccountId>193</AccountId>
        <AccountType/>
      </UserInfo>
    </SharedWithUsers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Props1.xml><?xml version="1.0" encoding="utf-8"?>
<ds:datastoreItem xmlns:ds="http://schemas.openxmlformats.org/officeDocument/2006/customXml" ds:itemID="{F1F733B6-7687-408A-82A1-E9D6FADEE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b43e7-4fd7-40d7-b69d-4194eaec2986"/>
    <ds:schemaRef ds:uri="cdd9e558-cb30-4040-a170-589c5446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F53A6-83EB-48CA-97F9-DDE49AFEC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DF49E-25BD-4080-81B6-C964375635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d9e558-cb30-4040-a170-589c5446b749"/>
    <ds:schemaRef ds:uri="879b43e7-4fd7-40d7-b69d-4194eaec298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Deena</dc:creator>
  <keywords/>
  <dc:description/>
  <lastModifiedBy>Smith, Deena</lastModifiedBy>
  <revision>43</revision>
  <dcterms:created xsi:type="dcterms:W3CDTF">2024-10-23T14:25:00.0000000Z</dcterms:created>
  <dcterms:modified xsi:type="dcterms:W3CDTF">2025-02-20T17:26:00.0643948Z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MediaServiceImageTags">
    <vt:lpwstr/>
  </property>
</Properties>
</file>